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43" w:rsidRPr="00821D4D" w:rsidRDefault="00F25243" w:rsidP="00F2524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kern w:val="36"/>
          <w:sz w:val="55"/>
          <w:szCs w:val="55"/>
        </w:rPr>
      </w:pPr>
      <w:bookmarkStart w:id="0" w:name="_GoBack"/>
      <w:bookmarkEnd w:id="0"/>
      <w:r w:rsidRPr="00821D4D">
        <w:rPr>
          <w:rFonts w:ascii="Arial" w:eastAsia="Times New Roman" w:hAnsi="Arial" w:cs="Arial"/>
          <w:kern w:val="36"/>
          <w:sz w:val="55"/>
          <w:szCs w:val="55"/>
        </w:rPr>
        <w:t xml:space="preserve">REACH - Chemical Regulation </w:t>
      </w:r>
      <w:r w:rsidRPr="00821D4D">
        <w:rPr>
          <w:rFonts w:ascii="Arial" w:eastAsia="Times New Roman" w:hAnsi="Arial" w:cs="Arial"/>
          <w:vanish/>
          <w:kern w:val="36"/>
          <w:sz w:val="55"/>
          <w:szCs w:val="55"/>
          <w:u w:val="single"/>
        </w:rPr>
        <w:t xml:space="preserve">  </w:t>
      </w:r>
    </w:p>
    <w:p w:rsidR="00F25243" w:rsidRPr="00821D4D" w:rsidRDefault="00F25243" w:rsidP="00F25243">
      <w:pPr>
        <w:spacing w:after="0" w:line="240" w:lineRule="auto"/>
        <w:rPr>
          <w:rFonts w:ascii="Arial" w:eastAsia="Times New Roman" w:hAnsi="Arial" w:cs="Arial"/>
          <w:vanish/>
          <w:sz w:val="20"/>
          <w:szCs w:val="20"/>
        </w:rPr>
      </w:pPr>
      <w:bookmarkStart w:id="1" w:name="mainContent"/>
      <w:bookmarkEnd w:id="1"/>
      <w:r w:rsidRPr="00821D4D">
        <w:rPr>
          <w:rFonts w:ascii="Arial" w:eastAsia="Times New Roman" w:hAnsi="Arial" w:cs="Arial"/>
          <w:vanish/>
          <w:sz w:val="20"/>
          <w:szCs w:val="20"/>
        </w:rPr>
        <w:t>Page Content</w:t>
      </w:r>
    </w:p>
    <w:p w:rsidR="00AA21C2" w:rsidRDefault="00F25243" w:rsidP="00F25243">
      <w:pPr>
        <w:spacing w:before="100" w:beforeAutospacing="1" w:after="150" w:line="255" w:lineRule="atLeast"/>
        <w:rPr>
          <w:rFonts w:ascii="Times New Roman" w:hAnsi="Times New Roman" w:cs="Times New Roman"/>
          <w:sz w:val="24"/>
          <w:szCs w:val="24"/>
        </w:rPr>
      </w:pPr>
      <w:r w:rsidRPr="00821D4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21D4D">
        <w:rPr>
          <w:rFonts w:ascii="Arial" w:eastAsia="Times New Roman" w:hAnsi="Arial" w:cs="Arial"/>
          <w:b/>
          <w:bCs/>
          <w:sz w:val="24"/>
          <w:szCs w:val="24"/>
          <w:lang w:val="en"/>
        </w:rPr>
        <w:t xml:space="preserve">REACH, Regulation No 1907/2006 on the Registration, Evaluation, Authorisation and Restriction of Chemicals. </w:t>
      </w:r>
      <w:r w:rsidRPr="00821D4D">
        <w:rPr>
          <w:rFonts w:ascii="Arial" w:eastAsia="Times New Roman" w:hAnsi="Arial" w:cs="Arial"/>
          <w:b/>
          <w:bCs/>
          <w:sz w:val="24"/>
          <w:szCs w:val="24"/>
          <w:lang w:val="en"/>
        </w:rPr>
        <w:br/>
      </w:r>
      <w:r w:rsidRPr="00821D4D">
        <w:rPr>
          <w:rFonts w:ascii="Arial" w:eastAsia="Times New Roman" w:hAnsi="Arial" w:cs="Arial"/>
          <w:sz w:val="24"/>
          <w:szCs w:val="24"/>
          <w:lang w:val="en"/>
        </w:rPr>
        <w:br/>
        <w:t xml:space="preserve">REACH requires that sufficient information on Substances of Very High Concern (SVHC) contained in articles in concentration above 0.1% weight by weight (w/w) is communicated to allow the safe use of the product. </w:t>
      </w:r>
    </w:p>
    <w:p w:rsidR="00AA21C2" w:rsidRPr="0020132D" w:rsidRDefault="00CC1642" w:rsidP="00CC1642">
      <w:pPr>
        <w:spacing w:before="100" w:beforeAutospacing="1" w:after="150" w:line="255" w:lineRule="atLeast"/>
        <w:ind w:left="120" w:hangingChars="50" w:hanging="120"/>
        <w:rPr>
          <w:rFonts w:ascii="Arial" w:eastAsia="Times New Roman" w:hAnsi="Arial" w:cs="Arial"/>
          <w:sz w:val="24"/>
          <w:szCs w:val="24"/>
          <w:lang w:val="en"/>
        </w:rPr>
      </w:pPr>
      <w:r w:rsidRPr="0020132D">
        <w:rPr>
          <w:rFonts w:ascii="Arial" w:eastAsia="Times New Roman" w:hAnsi="Arial" w:cs="Arial" w:hint="eastAsia"/>
          <w:sz w:val="24"/>
          <w:szCs w:val="24"/>
          <w:lang w:val="en"/>
        </w:rPr>
        <w:t xml:space="preserve">The following tables cover </w:t>
      </w:r>
      <w:r w:rsidRPr="0020132D">
        <w:rPr>
          <w:rFonts w:ascii="Arial" w:eastAsia="Times New Roman" w:hAnsi="Arial" w:cs="Arial"/>
          <w:sz w:val="24"/>
          <w:szCs w:val="24"/>
          <w:lang w:val="en"/>
        </w:rPr>
        <w:t>1</w:t>
      </w:r>
      <w:r w:rsidR="00794565" w:rsidRPr="0020132D">
        <w:rPr>
          <w:rFonts w:ascii="Arial" w:eastAsia="Times New Roman" w:hAnsi="Arial" w:cs="Arial"/>
          <w:sz w:val="24"/>
          <w:szCs w:val="24"/>
          <w:lang w:val="en"/>
        </w:rPr>
        <w:t>91</w:t>
      </w:r>
      <w:r w:rsidRPr="0020132D">
        <w:rPr>
          <w:rFonts w:ascii="Arial" w:eastAsia="Times New Roman" w:hAnsi="Arial" w:cs="Arial"/>
          <w:sz w:val="24"/>
          <w:szCs w:val="24"/>
          <w:lang w:val="en"/>
        </w:rPr>
        <w:t xml:space="preserve"> REACH SVHCs </w:t>
      </w:r>
      <w:r w:rsidRPr="0020132D">
        <w:rPr>
          <w:rFonts w:ascii="Arial" w:hAnsi="Arial" w:cs="Arial" w:hint="eastAsia"/>
          <w:sz w:val="24"/>
          <w:szCs w:val="24"/>
          <w:lang w:val="en"/>
        </w:rPr>
        <w:t>which are</w:t>
      </w:r>
      <w:r w:rsidRPr="0020132D">
        <w:rPr>
          <w:rFonts w:ascii="Arial" w:eastAsia="Times New Roman" w:hAnsi="Arial" w:cs="Arial"/>
          <w:sz w:val="24"/>
          <w:szCs w:val="24"/>
          <w:lang w:val="en"/>
        </w:rPr>
        <w:t xml:space="preserve"> updated by ECHA on </w:t>
      </w:r>
      <w:r w:rsidR="00C62475" w:rsidRPr="0020132D">
        <w:rPr>
          <w:rFonts w:ascii="Arial" w:hAnsi="Arial" w:cs="Arial" w:hint="eastAsia"/>
          <w:sz w:val="24"/>
          <w:szCs w:val="24"/>
          <w:lang w:val="en"/>
        </w:rPr>
        <w:t xml:space="preserve"> </w:t>
      </w:r>
      <w:r w:rsidR="00794565" w:rsidRPr="0020132D">
        <w:rPr>
          <w:rFonts w:ascii="Arial" w:hAnsi="Arial" w:cs="Arial"/>
          <w:sz w:val="24"/>
          <w:szCs w:val="24"/>
          <w:lang w:val="en"/>
        </w:rPr>
        <w:t>2</w:t>
      </w:r>
      <w:r w:rsidR="00C62475" w:rsidRPr="0020132D">
        <w:rPr>
          <w:rFonts w:ascii="Arial" w:hAnsi="Arial" w:cs="Arial" w:hint="eastAsia"/>
          <w:sz w:val="24"/>
          <w:szCs w:val="24"/>
          <w:lang w:val="en"/>
        </w:rPr>
        <w:t xml:space="preserve">7th </w:t>
      </w:r>
      <w:r w:rsidRPr="0020132D">
        <w:rPr>
          <w:rFonts w:ascii="Arial" w:eastAsia="Times New Roman" w:hAnsi="Arial" w:cs="Arial"/>
          <w:sz w:val="24"/>
          <w:szCs w:val="24"/>
          <w:lang w:val="en"/>
        </w:rPr>
        <w:t>Ju</w:t>
      </w:r>
      <w:r w:rsidR="00794565" w:rsidRPr="0020132D">
        <w:rPr>
          <w:rFonts w:ascii="Arial" w:eastAsia="Times New Roman" w:hAnsi="Arial" w:cs="Arial"/>
          <w:sz w:val="24"/>
          <w:szCs w:val="24"/>
          <w:lang w:val="en"/>
        </w:rPr>
        <w:t>ne</w:t>
      </w:r>
      <w:r w:rsidRPr="0020132D">
        <w:rPr>
          <w:rFonts w:ascii="Arial" w:eastAsia="Times New Roman" w:hAnsi="Arial" w:cs="Arial"/>
          <w:sz w:val="24"/>
          <w:szCs w:val="24"/>
          <w:lang w:val="en"/>
        </w:rPr>
        <w:t>, 201</w:t>
      </w:r>
      <w:r w:rsidR="00794565" w:rsidRPr="0020132D">
        <w:rPr>
          <w:rFonts w:ascii="Arial" w:eastAsia="Times New Roman" w:hAnsi="Arial" w:cs="Arial"/>
          <w:sz w:val="24"/>
          <w:szCs w:val="24"/>
          <w:lang w:val="en"/>
        </w:rPr>
        <w:t>8</w:t>
      </w:r>
      <w:r w:rsidRPr="0020132D">
        <w:rPr>
          <w:rFonts w:ascii="Arial" w:hAnsi="Arial" w:cs="Arial" w:hint="eastAsia"/>
          <w:sz w:val="24"/>
          <w:szCs w:val="24"/>
          <w:lang w:val="en"/>
        </w:rPr>
        <w:t xml:space="preserve">. </w:t>
      </w:r>
      <w:r w:rsidRPr="0020132D">
        <w:rPr>
          <w:rFonts w:ascii="Arial" w:eastAsia="Times New Roman" w:hAnsi="Arial" w:cs="Arial"/>
          <w:sz w:val="24"/>
          <w:szCs w:val="24"/>
          <w:lang w:val="en"/>
        </w:rPr>
        <w:t>(http://echa.europa.eu/candidate-list-table)</w:t>
      </w:r>
    </w:p>
    <w:p w:rsidR="00656EE9" w:rsidRDefault="00656EE9" w:rsidP="00F25243">
      <w:pPr>
        <w:spacing w:before="100" w:beforeAutospacing="1" w:after="150" w:line="255" w:lineRule="atLeast"/>
        <w:rPr>
          <w:rFonts w:ascii="Arial" w:eastAsia="Times New Roman" w:hAnsi="Arial" w:cs="Arial"/>
          <w:b/>
          <w:sz w:val="24"/>
          <w:szCs w:val="24"/>
          <w:lang w:val="en"/>
        </w:rPr>
      </w:pPr>
    </w:p>
    <w:p w:rsidR="00F25243" w:rsidRPr="00AA21C2" w:rsidRDefault="00F25243" w:rsidP="00F25243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821D4D">
        <w:rPr>
          <w:rFonts w:ascii="Arial" w:eastAsia="Times New Roman" w:hAnsi="Arial" w:cs="Arial"/>
          <w:b/>
          <w:sz w:val="24"/>
          <w:szCs w:val="24"/>
          <w:lang w:val="en"/>
        </w:rPr>
        <w:t xml:space="preserve">The following products contain a SVHC in a concentration above 0.1% w/w. </w:t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1134"/>
        <w:gridCol w:w="1701"/>
      </w:tblGrid>
      <w:tr w:rsidR="00821D4D" w:rsidRPr="00821D4D" w:rsidTr="00F34DF0">
        <w:trPr>
          <w:trHeight w:val="44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</w:rPr>
              <w:t> </w:t>
            </w: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Product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Substance Name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AD1DD0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EC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Information on safe use</w:t>
            </w:r>
          </w:p>
        </w:tc>
      </w:tr>
      <w:tr w:rsidR="00821D4D" w:rsidRPr="00821D4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30086F" w:rsidP="00F25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86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BP71GA3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3E1163" w:rsidP="00F25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1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Glossy A3 Photo Paper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3E1163" w:rsidP="00F2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1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Boric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AD1DD0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233-139-2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allow to come into contact with mouth.</w:t>
            </w:r>
          </w:p>
        </w:tc>
      </w:tr>
      <w:tr w:rsidR="00AD1DD0" w:rsidRPr="00821D4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86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BP71GA4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1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Glossy A4 Photo Paper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1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Boric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233-139-2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allow t</w:t>
            </w:r>
            <w:r w:rsidR="00BC07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 come into contact with mouth.</w:t>
            </w:r>
          </w:p>
        </w:tc>
      </w:tr>
      <w:tr w:rsidR="00AD1DD0" w:rsidRPr="00821D4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1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BP71GP20 </w:t>
            </w:r>
            <w:r w:rsidRPr="0030086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BP71GP50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0086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Glossy 10cm x 15cm Photo Paper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16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Boric acid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233-139-2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allow t</w:t>
            </w:r>
            <w:r w:rsidR="00BC075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 come into contact with mouth.</w:t>
            </w:r>
          </w:p>
        </w:tc>
      </w:tr>
      <w:tr w:rsidR="00821D4D" w:rsidRPr="00821D4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AA3F1F" w:rsidP="00F25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F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BA-9000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6B19E2" w:rsidP="00F2524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A3F1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BATTERY FOR PT-9600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Bis (2-ethylhexyl)phthalate (DEHP)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AD1DD0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204-211-0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keep the battery cover open.</w:t>
            </w:r>
          </w:p>
        </w:tc>
      </w:tr>
      <w:tr w:rsidR="000A01B3" w:rsidRPr="00821D4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AA3F1F" w:rsidRDefault="000A01B3" w:rsidP="00F25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AA3F1F" w:rsidRDefault="000A01B3" w:rsidP="00F2524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821D4D" w:rsidRDefault="000A01B3" w:rsidP="00F252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AD1DD0" w:rsidRDefault="000A01B3" w:rsidP="00F2524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821D4D" w:rsidRDefault="000A01B3" w:rsidP="00F25243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</w:p>
        </w:tc>
      </w:tr>
      <w:tr w:rsidR="00F34DF0" w:rsidRPr="0020132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0A01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bookmarkStart w:id="2" w:name="_Hlk529280797"/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Carton boxes</w:t>
            </w:r>
            <w:r w:rsidRPr="007945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0A01B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945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AiRScouter 300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series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Tetraboron disodium heptaoxide, hydrate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0A01B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235-541-3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all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ow to come into contact with mouth.</w:t>
            </w:r>
          </w:p>
        </w:tc>
      </w:tr>
      <w:bookmarkEnd w:id="2"/>
      <w:tr w:rsidR="00F34DF0" w:rsidRPr="0020132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Carton box</w:t>
            </w:r>
            <w:r w:rsidR="00ED3C7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for specific toner</w:t>
            </w:r>
            <w:r w:rsidR="0018064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cartridges</w:t>
            </w:r>
            <w:r w:rsidRPr="007945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ED3C7B"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(*1)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ED3C7B" w:rsidP="00FA355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Outer Carton for toner cartridges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Disodium tetraborate decahydrate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215-540-4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all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ow to come into contact with mouth.</w:t>
            </w:r>
          </w:p>
        </w:tc>
      </w:tr>
      <w:tr w:rsidR="00F34DF0" w:rsidRPr="0020132D" w:rsidTr="00F34DF0">
        <w:trPr>
          <w:trHeight w:val="22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50C29" w:rsidP="00FA355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50C2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Carton box for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Supply </w:t>
            </w:r>
            <w:r w:rsid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Inkjet head unit </w:t>
            </w:r>
            <w:r w:rsidR="000A01B3"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(*</w:t>
            </w:r>
            <w:r w:rsidR="00ED3C7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</w:t>
            </w:r>
            <w:r w:rsidR="000A01B3"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B9387E" w:rsidP="00FA3555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Inner c</w:t>
            </w:r>
            <w:r w:rsid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arton for </w:t>
            </w:r>
            <w:r w:rsidR="0018064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protecting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head</w:t>
            </w:r>
            <w:r w:rsidR="000A01B3" w:rsidRPr="0079456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18064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unit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Disodium tetraborate decahydrate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01B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215-540-4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1B3" w:rsidRPr="0020132D" w:rsidRDefault="000A01B3" w:rsidP="00FA355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Do not all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ow to come into contact with mouth.</w:t>
            </w:r>
          </w:p>
        </w:tc>
      </w:tr>
    </w:tbl>
    <w:p w:rsidR="00F34DF0" w:rsidRPr="00E235B5" w:rsidRDefault="00F34DF0" w:rsidP="00F34DF0">
      <w:pPr>
        <w:spacing w:after="0" w:line="240" w:lineRule="auto"/>
      </w:pPr>
      <w:r w:rsidRPr="00E235B5">
        <w:rPr>
          <w:rFonts w:hint="eastAsia"/>
        </w:rPr>
        <w:t>*</w:t>
      </w:r>
      <w:r>
        <w:t>1</w:t>
      </w:r>
      <w:r w:rsidRPr="00E235B5">
        <w:rPr>
          <w:rFonts w:hint="eastAsia"/>
        </w:rPr>
        <w:t>:</w:t>
      </w:r>
    </w:p>
    <w:p w:rsidR="00F34DF0" w:rsidRDefault="00F34DF0" w:rsidP="00F34DF0">
      <w:pPr>
        <w:spacing w:after="0" w:line="240" w:lineRule="auto"/>
      </w:pPr>
      <w:r w:rsidRPr="00ED3C7B">
        <w:t>TN-329C P, TN-329BK P, TN-329M P, TN-329Y P, TN-900C P, TN-900BK P, TN-900M P, TN-900Y P, TN-900C MPS, TN-900BK MPS, TN-900M MPS, TN-900Y MPS</w:t>
      </w:r>
    </w:p>
    <w:p w:rsidR="00F34DF0" w:rsidRDefault="00F34DF0" w:rsidP="00F34DF0">
      <w:pPr>
        <w:spacing w:after="0" w:line="240" w:lineRule="auto"/>
      </w:pPr>
    </w:p>
    <w:p w:rsidR="00F34DF0" w:rsidRPr="00E235B5" w:rsidRDefault="00F34DF0" w:rsidP="00F34DF0">
      <w:pPr>
        <w:spacing w:after="0" w:line="240" w:lineRule="auto"/>
      </w:pPr>
      <w:r w:rsidRPr="00E235B5">
        <w:rPr>
          <w:rFonts w:hint="eastAsia"/>
        </w:rPr>
        <w:t>*</w:t>
      </w:r>
      <w:r>
        <w:t>2</w:t>
      </w:r>
      <w:r w:rsidRPr="00E235B5">
        <w:rPr>
          <w:rFonts w:hint="eastAsia"/>
        </w:rPr>
        <w:t>:</w:t>
      </w:r>
    </w:p>
    <w:p w:rsidR="00F34DF0" w:rsidRDefault="00F34DF0" w:rsidP="00F34DF0">
      <w:pPr>
        <w:spacing w:after="0" w:line="240" w:lineRule="auto"/>
      </w:pPr>
      <w:r w:rsidRPr="00A333E7">
        <w:t xml:space="preserve">PRINT HEAD SUPPLY UNIT M17HT </w:t>
      </w:r>
      <w:r>
        <w:t>(</w:t>
      </w:r>
      <w:r w:rsidRPr="00A333E7">
        <w:t>D00STP001</w:t>
      </w:r>
      <w:r>
        <w:t xml:space="preserve">), </w:t>
      </w:r>
      <w:r w:rsidRPr="00A333E7">
        <w:t>PRINT HEAD SUPPLY UNIT S13</w:t>
      </w:r>
      <w:r>
        <w:t>(</w:t>
      </w:r>
      <w:r w:rsidRPr="00A333E7">
        <w:t>LK6584001</w:t>
      </w:r>
      <w:r>
        <w:t>)</w:t>
      </w:r>
    </w:p>
    <w:p w:rsidR="00F34DF0" w:rsidRDefault="00F34DF0" w:rsidP="00F34DF0">
      <w:pPr>
        <w:spacing w:after="0" w:line="240" w:lineRule="auto"/>
      </w:pPr>
    </w:p>
    <w:p w:rsidR="00656EE9" w:rsidRDefault="00656EE9" w:rsidP="00F25243">
      <w:pPr>
        <w:spacing w:before="100" w:beforeAutospacing="1" w:after="150" w:line="255" w:lineRule="atLeast"/>
        <w:rPr>
          <w:rFonts w:ascii="Arial" w:eastAsia="Times New Roman" w:hAnsi="Arial" w:cs="Arial"/>
          <w:b/>
          <w:sz w:val="24"/>
          <w:szCs w:val="24"/>
        </w:rPr>
      </w:pPr>
    </w:p>
    <w:p w:rsidR="00F34DF0" w:rsidRDefault="00F34DF0" w:rsidP="00F25243">
      <w:pPr>
        <w:spacing w:before="100" w:beforeAutospacing="1" w:after="150" w:line="255" w:lineRule="atLeast"/>
        <w:rPr>
          <w:rFonts w:ascii="Arial" w:eastAsia="Times New Roman" w:hAnsi="Arial" w:cs="Arial"/>
          <w:b/>
          <w:sz w:val="24"/>
          <w:szCs w:val="24"/>
        </w:rPr>
      </w:pPr>
    </w:p>
    <w:p w:rsidR="00F34DF0" w:rsidRPr="00F34DF0" w:rsidRDefault="00F34DF0" w:rsidP="00F25243">
      <w:pPr>
        <w:spacing w:before="100" w:beforeAutospacing="1" w:after="150" w:line="255" w:lineRule="atLeast"/>
        <w:rPr>
          <w:rFonts w:ascii="Arial" w:eastAsia="Times New Roman" w:hAnsi="Arial" w:cs="Arial"/>
          <w:b/>
          <w:sz w:val="24"/>
          <w:szCs w:val="24"/>
        </w:rPr>
      </w:pPr>
    </w:p>
    <w:p w:rsidR="00F25243" w:rsidRPr="00821D4D" w:rsidRDefault="00F25243" w:rsidP="00F25243">
      <w:pPr>
        <w:spacing w:before="100" w:beforeAutospacing="1" w:after="150" w:line="255" w:lineRule="atLeas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821D4D">
        <w:rPr>
          <w:rFonts w:ascii="Arial" w:eastAsia="Times New Roman" w:hAnsi="Arial" w:cs="Arial"/>
          <w:b/>
          <w:sz w:val="24"/>
          <w:szCs w:val="24"/>
          <w:lang w:val="en"/>
        </w:rPr>
        <w:lastRenderedPageBreak/>
        <w:t xml:space="preserve">The items below may contain substances above the threshold at an individual component level </w:t>
      </w:r>
      <w:r w:rsidRPr="00821D4D">
        <w:rPr>
          <w:rFonts w:ascii="Arial" w:eastAsia="Times New Roman" w:hAnsi="Arial" w:cs="Arial"/>
          <w:b/>
          <w:sz w:val="24"/>
          <w:szCs w:val="24"/>
          <w:lang w:val="en-US"/>
        </w:rPr>
        <w:t>but not above 0.1%(w/w) of the total article weight.</w:t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2551"/>
        <w:gridCol w:w="1134"/>
        <w:gridCol w:w="1701"/>
      </w:tblGrid>
      <w:tr w:rsidR="00821D4D" w:rsidRPr="00821D4D" w:rsidTr="00F34DF0">
        <w:trPr>
          <w:trHeight w:val="472"/>
          <w:tblHeader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Item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Product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Substance Name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AD1DD0" w:rsidP="00821D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EC No.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243" w:rsidRPr="00821D4D" w:rsidRDefault="00F25243" w:rsidP="00F252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Information on safe use</w:t>
            </w:r>
          </w:p>
        </w:tc>
      </w:tr>
      <w:tr w:rsidR="006B19E2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E2" w:rsidRDefault="006B19E2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Inkjet head actuator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E2" w:rsidRPr="00821D4D" w:rsidRDefault="006B19E2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All of the inkjet </w:t>
            </w:r>
            <w:r w:rsidR="00A81E7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“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 in</w:t>
            </w:r>
            <w:r w:rsidR="00A81E7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One</w:t>
            </w:r>
            <w:r w:rsidR="00A81E7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” 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printers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E2" w:rsidRPr="0006474C" w:rsidRDefault="006B19E2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 titanium zirconium oxide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E2" w:rsidRPr="0006474C" w:rsidRDefault="00AD1DD0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235-727-4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19E2" w:rsidRPr="00821D4D" w:rsidRDefault="006B19E2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Do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not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break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inkjet head units</w:t>
            </w:r>
          </w:p>
        </w:tc>
      </w:tr>
      <w:tr w:rsidR="00AD341E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1E" w:rsidRDefault="00AD341E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Flexible Flat cable of thermal head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1E" w:rsidRPr="00821D4D" w:rsidRDefault="00AD341E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MW-145BT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1E" w:rsidRPr="0006474C" w:rsidRDefault="00AD341E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341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1,6,7,8,9,14,15,16,17,17,18,18-Dodecachloropentacyclo[12.2.1.16,9.02,13.05,10]octadeca-7,15-diene ("Dechlorane Plus"TM)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1E" w:rsidRPr="0006474C" w:rsidRDefault="00AD1DD0" w:rsidP="002B203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236-948-9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41E" w:rsidRPr="00821D4D" w:rsidRDefault="008809E3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Do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not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break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to open device cover</w:t>
            </w:r>
          </w:p>
        </w:tc>
      </w:tr>
      <w:tr w:rsidR="00AD1DD0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HD cable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79748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AiRScouter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79748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WD-350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06474C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341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1,6,7,8,9,14,15,16,17,17,18,18-Dodecachloropentacyclo[12.2.1.16,9.02,13.05,10]octadeca-7,15-diene ("Dechlorane Plus"TM)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06474C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236-948-9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Do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not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break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cable cover</w:t>
            </w:r>
          </w:p>
        </w:tc>
      </w:tr>
      <w:tr w:rsidR="00AD1DD0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Solenoid for print mechanism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26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See the model names in the following footnote (*</w:t>
            </w:r>
            <w:r w:rsidR="00F34D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3</w:t>
            </w:r>
            <w:r w:rsidRPr="00E226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06474C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341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1,6,7,8,9,14,15,16,17,17,18,18-Dodecachloropentacyclo[12.2.1.16,9.02,13.05,10]octadeca-7,15-diene ("Dechlorane Plus"TM)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06474C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236-948-9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Do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not</w:t>
            </w:r>
            <w:r w:rsidRPr="006B19E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break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to open device cover</w:t>
            </w:r>
          </w:p>
        </w:tc>
      </w:tr>
      <w:tr w:rsidR="008809E3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9E3" w:rsidRPr="00821D4D" w:rsidRDefault="008809E3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Copper alloy Plugs for </w:t>
            </w: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Power Cord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9E3" w:rsidRPr="00821D4D" w:rsidRDefault="008809E3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 Printers, All in One printers, Fax machines, P Touch products, QL Products, Stamp Creator and PocketJet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9E3" w:rsidRPr="00821D4D" w:rsidRDefault="008809E3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7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9E3" w:rsidRPr="00821D4D" w:rsidRDefault="00AD1DD0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231-100-4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09E3" w:rsidRPr="00821D4D" w:rsidRDefault="008809E3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Keep out of the reach of children.</w:t>
            </w:r>
          </w:p>
        </w:tc>
      </w:tr>
      <w:tr w:rsidR="00AD1DD0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Copper alloy Motor Gear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 Printers, All in One printers, Fax machines, P Touch products, QL Products, Stamp Creator and PocketJet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7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231-100-4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Keep out of the reach of children.</w:t>
            </w:r>
          </w:p>
        </w:tc>
      </w:tr>
      <w:tr w:rsidR="00AD1DD0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Copper alloy Motor Sleeve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 Printers, All in One printers, Fax machines, P Touch products, QL Products, Stamp Creator and PocketJet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7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231-100-4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Keep out of the reach of children.</w:t>
            </w:r>
          </w:p>
        </w:tc>
      </w:tr>
      <w:tr w:rsidR="00AD1DD0" w:rsidRPr="00821D4D" w:rsidTr="00F34DF0">
        <w:trPr>
          <w:trHeight w:val="235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Parts containing iron shaft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All Printers, All in One printers, Fax machines, P Touch products, QL Products, Stamp Creator and PocketJet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6474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Lead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231-100-4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1DD0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Keep out of the reach of children.</w:t>
            </w:r>
          </w:p>
        </w:tc>
      </w:tr>
      <w:tr w:rsidR="008809E3" w:rsidRPr="00A32C8B" w:rsidTr="00F34DF0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20132D" w:rsidRDefault="008809E3" w:rsidP="00A76EC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A76E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Liquid Crystal Display unit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2B2030" w:rsidRDefault="008809E3" w:rsidP="008809E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226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See the model names in the following footnote (*</w:t>
            </w:r>
            <w:r w:rsidR="00F34D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4</w:t>
            </w:r>
            <w:r w:rsidRPr="00E2269B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821D4D" w:rsidRDefault="008809E3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21D4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Tetraboron disodium heptaoxide, hydrate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821D4D" w:rsidRDefault="00AD1DD0" w:rsidP="00AD1D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235-541-3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821D4D" w:rsidRDefault="008809E3" w:rsidP="00880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76E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Do </w:t>
            </w:r>
            <w:r w:rsid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not</w:t>
            </w:r>
            <w:r w:rsidRPr="00A76E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break the Liquid Crystal Display Panel</w:t>
            </w:r>
            <w:r w:rsidR="00A76EC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</w:tc>
      </w:tr>
      <w:tr w:rsidR="008809E3" w:rsidRPr="00A32C8B" w:rsidTr="00F34DF0">
        <w:trPr>
          <w:trHeight w:val="23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2B2030" w:rsidRDefault="00797485" w:rsidP="009565B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>
              <w:br w:type="page"/>
            </w:r>
            <w:r w:rsidR="008809E3" w:rsidRPr="009565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Liquid Crystal Display Cover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20132D" w:rsidRDefault="008809E3" w:rsidP="008809E3">
            <w:pPr>
              <w:spacing w:after="0" w:line="240" w:lineRule="auto"/>
            </w:pPr>
            <w:r w:rsidRPr="0020132D">
              <w:t>TP-M5000N</w:t>
            </w:r>
          </w:p>
          <w:p w:rsidR="008809E3" w:rsidRPr="0072371A" w:rsidRDefault="008809E3" w:rsidP="008809E3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</w:pPr>
            <w:r w:rsidRPr="0020132D">
              <w:t>“TapeCreator”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2B2030" w:rsidRDefault="008809E3" w:rsidP="008809E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  <w:r w:rsidRPr="0020132D">
              <w:t>2-(2H-benzotriazol-2-yl)-4,6-ditertpentylphenol (UV-328)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2B2030" w:rsidRDefault="00AD1DD0" w:rsidP="008809E3">
            <w:pPr>
              <w:spacing w:after="0" w:line="240" w:lineRule="auto"/>
              <w:rPr>
                <w:color w:val="FF0000"/>
              </w:rPr>
            </w:pPr>
            <w:r w:rsidRPr="00AD1DD0">
              <w:t>247-384-8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9E3" w:rsidRPr="004063C6" w:rsidRDefault="008809E3" w:rsidP="009565B9">
            <w:pPr>
              <w:spacing w:before="100" w:beforeAutospacing="1" w:after="100" w:afterAutospacing="1" w:line="240" w:lineRule="auto"/>
              <w:rPr>
                <w:color w:val="FF0000"/>
              </w:rPr>
            </w:pPr>
            <w:r w:rsidRPr="009565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Do </w:t>
            </w:r>
            <w:r w:rsidR="00AD1DD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not</w:t>
            </w:r>
            <w:r w:rsidRPr="009565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break the Liquid Crystal Display Panel</w:t>
            </w:r>
            <w:r w:rsidR="009565B9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</w:p>
        </w:tc>
      </w:tr>
    </w:tbl>
    <w:p w:rsidR="00F34DF0" w:rsidRDefault="008809E3" w:rsidP="008809E3">
      <w:pPr>
        <w:spacing w:after="0" w:line="240" w:lineRule="auto"/>
      </w:pPr>
      <w:r w:rsidRPr="00E235B5">
        <w:rPr>
          <w:rFonts w:hint="eastAsia"/>
        </w:rPr>
        <w:t>*</w:t>
      </w:r>
      <w:r w:rsidR="00ED3C7B">
        <w:t>3</w:t>
      </w:r>
      <w:r w:rsidRPr="00E235B5">
        <w:rPr>
          <w:rFonts w:hint="eastAsia"/>
        </w:rPr>
        <w:t>:</w:t>
      </w:r>
    </w:p>
    <w:p w:rsidR="008809E3" w:rsidRPr="00E235B5" w:rsidRDefault="008809E3" w:rsidP="008809E3">
      <w:pPr>
        <w:spacing w:after="0" w:line="240" w:lineRule="auto"/>
      </w:pPr>
      <w:r w:rsidRPr="008809E3">
        <w:t>MFC-L3770CDW, DCP-1622WE, DCP-1623WE, DCP-1610W, DCP-1610WE, DCP-1612W, DCP-1612WE, DCP-1610WVB, DCP-1612WVB, MFC-1910W, MFC-1910WE, HL-1210W, HL-1210WE, HL-1212W, HL-1212WE, HL-1210WVB, HL-1212WVB, HL-1222WE, HL-1223WE, HL-1110, HL-1110E, HL-1112, HL-1112E, DCP-1510, DCP-1510E, DCP-1512,</w:t>
      </w:r>
      <w:r>
        <w:t xml:space="preserve"> DCP-1512E, MFC-1810, MFC-1810E</w:t>
      </w:r>
    </w:p>
    <w:p w:rsidR="00FB37A4" w:rsidRDefault="00FB37A4"/>
    <w:p w:rsidR="0072371A" w:rsidRPr="00E235B5" w:rsidRDefault="0072371A" w:rsidP="0073751E">
      <w:pPr>
        <w:spacing w:after="0" w:line="240" w:lineRule="auto"/>
      </w:pPr>
      <w:r w:rsidRPr="00E235B5">
        <w:rPr>
          <w:rFonts w:hint="eastAsia"/>
        </w:rPr>
        <w:t>*</w:t>
      </w:r>
      <w:r w:rsidR="00ED3C7B">
        <w:t>4</w:t>
      </w:r>
      <w:r w:rsidRPr="00E235B5">
        <w:rPr>
          <w:rFonts w:hint="eastAsia"/>
        </w:rPr>
        <w:t>:</w:t>
      </w:r>
    </w:p>
    <w:p w:rsidR="0072371A" w:rsidRPr="006F6EB4" w:rsidRDefault="00E235B5" w:rsidP="0073751E">
      <w:pPr>
        <w:spacing w:after="0" w:line="240" w:lineRule="auto"/>
      </w:pPr>
      <w:r w:rsidRPr="00E235B5">
        <w:t>ADS-1600W, DCP-J552DW, DCP-J752DW, MFC-J650DW, MFC-J870DW, MFC-J6520DW, MFC-J6720DW, MFC-L2740DW, MFC-L2720DW</w:t>
      </w:r>
      <w:r w:rsidR="0073751E" w:rsidRPr="00E235B5">
        <w:t xml:space="preserve">, </w:t>
      </w:r>
      <w:r w:rsidRPr="00E235B5">
        <w:t>MFC-J491DW, MFC-J775DW, MFC-J480DW</w:t>
      </w:r>
    </w:p>
    <w:sectPr w:rsidR="0072371A" w:rsidRPr="006F6E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6A4" w:rsidRDefault="007C66A4" w:rsidP="00FB37A4">
      <w:pPr>
        <w:spacing w:after="0" w:line="240" w:lineRule="auto"/>
      </w:pPr>
      <w:r>
        <w:separator/>
      </w:r>
    </w:p>
  </w:endnote>
  <w:endnote w:type="continuationSeparator" w:id="0">
    <w:p w:rsidR="007C66A4" w:rsidRDefault="007C66A4" w:rsidP="00FB3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6A4" w:rsidRDefault="007C66A4" w:rsidP="00FB37A4">
      <w:pPr>
        <w:spacing w:after="0" w:line="240" w:lineRule="auto"/>
      </w:pPr>
      <w:r>
        <w:separator/>
      </w:r>
    </w:p>
  </w:footnote>
  <w:footnote w:type="continuationSeparator" w:id="0">
    <w:p w:rsidR="007C66A4" w:rsidRDefault="007C66A4" w:rsidP="00FB3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43"/>
    <w:rsid w:val="00034706"/>
    <w:rsid w:val="00050C29"/>
    <w:rsid w:val="00060C72"/>
    <w:rsid w:val="0006474C"/>
    <w:rsid w:val="00091A59"/>
    <w:rsid w:val="000A01B3"/>
    <w:rsid w:val="001132F4"/>
    <w:rsid w:val="0017504D"/>
    <w:rsid w:val="00180641"/>
    <w:rsid w:val="001820BA"/>
    <w:rsid w:val="00190AD7"/>
    <w:rsid w:val="001D46C4"/>
    <w:rsid w:val="001F1B40"/>
    <w:rsid w:val="0020132D"/>
    <w:rsid w:val="0023744E"/>
    <w:rsid w:val="00270A50"/>
    <w:rsid w:val="002A66CB"/>
    <w:rsid w:val="002B2030"/>
    <w:rsid w:val="0030086F"/>
    <w:rsid w:val="00345A62"/>
    <w:rsid w:val="00346974"/>
    <w:rsid w:val="00397489"/>
    <w:rsid w:val="003E1163"/>
    <w:rsid w:val="003F7CFE"/>
    <w:rsid w:val="004063C6"/>
    <w:rsid w:val="004F2122"/>
    <w:rsid w:val="004F61CF"/>
    <w:rsid w:val="00530DF2"/>
    <w:rsid w:val="00656EE9"/>
    <w:rsid w:val="00677AAB"/>
    <w:rsid w:val="006B19E2"/>
    <w:rsid w:val="006F6EB4"/>
    <w:rsid w:val="0072371A"/>
    <w:rsid w:val="0073751E"/>
    <w:rsid w:val="00761EB0"/>
    <w:rsid w:val="00794565"/>
    <w:rsid w:val="00797485"/>
    <w:rsid w:val="007C5B7E"/>
    <w:rsid w:val="007C66A4"/>
    <w:rsid w:val="00821D4D"/>
    <w:rsid w:val="008809E3"/>
    <w:rsid w:val="008A1F84"/>
    <w:rsid w:val="00943F7E"/>
    <w:rsid w:val="009565B9"/>
    <w:rsid w:val="00A32C8B"/>
    <w:rsid w:val="00A333E7"/>
    <w:rsid w:val="00A76EC0"/>
    <w:rsid w:val="00A81E7B"/>
    <w:rsid w:val="00AA21C2"/>
    <w:rsid w:val="00AA3F1F"/>
    <w:rsid w:val="00AD1DD0"/>
    <w:rsid w:val="00AD341E"/>
    <w:rsid w:val="00B750E0"/>
    <w:rsid w:val="00B9387E"/>
    <w:rsid w:val="00BC0754"/>
    <w:rsid w:val="00C62475"/>
    <w:rsid w:val="00C71797"/>
    <w:rsid w:val="00CC1642"/>
    <w:rsid w:val="00CC5309"/>
    <w:rsid w:val="00DB5582"/>
    <w:rsid w:val="00DF4FD8"/>
    <w:rsid w:val="00E2269B"/>
    <w:rsid w:val="00E235B5"/>
    <w:rsid w:val="00E279D8"/>
    <w:rsid w:val="00EA7828"/>
    <w:rsid w:val="00ED3C7B"/>
    <w:rsid w:val="00F25243"/>
    <w:rsid w:val="00F34DF0"/>
    <w:rsid w:val="00F73067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  <w15:docId w15:val="{80AC91FB-1BEA-4B73-9726-756809BA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7A4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B37A4"/>
  </w:style>
  <w:style w:type="paragraph" w:styleId="Footer">
    <w:name w:val="footer"/>
    <w:basedOn w:val="Normal"/>
    <w:link w:val="FooterChar"/>
    <w:uiPriority w:val="99"/>
    <w:unhideWhenUsed/>
    <w:rsid w:val="00FB37A4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91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8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29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9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89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1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5220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64E6-C586-4CA8-B09A-B026113E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Carling (BIE)</dc:creator>
  <cp:keywords/>
  <dc:description/>
  <cp:lastModifiedBy>Adam Bruton (BIR)</cp:lastModifiedBy>
  <cp:revision>2</cp:revision>
  <cp:lastPrinted>2017-09-25T03:58:00Z</cp:lastPrinted>
  <dcterms:created xsi:type="dcterms:W3CDTF">2018-12-11T12:09:00Z</dcterms:created>
  <dcterms:modified xsi:type="dcterms:W3CDTF">2018-12-11T12:09:00Z</dcterms:modified>
</cp:coreProperties>
</file>